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5253039</wp:posOffset>
                      </wp:positionH>
                      <wp:positionV relativeFrom="paragraph">
                        <wp:posOffset>112377</wp:posOffset>
                      </wp:positionV>
                      <wp:extent cx="257175" cy="248031"/>
                      <wp:effectExtent b="0" l="0" r="0" t="0"/>
                      <wp:wrapNone/>
                      <wp:docPr id="119309223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5253039</wp:posOffset>
                      </wp:positionH>
                      <wp:positionV relativeFrom="paragraph">
                        <wp:posOffset>112377</wp:posOffset>
                      </wp:positionV>
                      <wp:extent cx="257175" cy="248031"/>
                      <wp:effectExtent b="0" l="0" r="0" t="0"/>
                      <wp:wrapNone/>
                      <wp:docPr id="1193092232"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57175" cy="24803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1847708</wp:posOffset>
                      </wp:positionH>
                      <wp:positionV relativeFrom="paragraph">
                        <wp:posOffset>113402</wp:posOffset>
                      </wp:positionV>
                      <wp:extent cx="257175" cy="248031"/>
                      <wp:effectExtent b="0" l="0" r="0" t="0"/>
                      <wp:wrapNone/>
                      <wp:docPr id="1193092231"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1847708</wp:posOffset>
                      </wp:positionH>
                      <wp:positionV relativeFrom="paragraph">
                        <wp:posOffset>113402</wp:posOffset>
                      </wp:positionV>
                      <wp:extent cx="257175" cy="248031"/>
                      <wp:effectExtent b="0" l="0" r="0" t="0"/>
                      <wp:wrapNone/>
                      <wp:docPr id="119309223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57175" cy="248031"/>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4162.010.26.1.5381-2025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DANIELA SANABRIA CASTILLO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1.006.462.614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Prestación de servicios profesionales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Valor inicial del contrato: Es hasta por la suma de (ONCE MILLONES TRESCIENTOS OCHENTA Y CINCO MIL PESOS M/CTE $11.385.000)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$11.385.000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color w:val="000000"/>
                      <w:rtl w:val="0"/>
                    </w:rPr>
                    <w:t xml:space="preserve">$ 3.795.000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rPr>
                  </w:pPr>
                  <w:r w:rsidDel="00000000" w:rsidR="00000000" w:rsidRPr="00000000">
                    <w:rPr>
                      <w:rFonts w:ascii="Arial" w:cs="Arial" w:eastAsia="Arial" w:hAnsi="Arial"/>
                      <w:rtl w:val="0"/>
                    </w:rPr>
                    <w:t xml:space="preserve"> $ 3.795.000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tl w:val="0"/>
                    </w:rPr>
                    <w:t xml:space="preserve"> </w:t>
                  </w:r>
                  <w:r w:rsidDel="00000000" w:rsidR="00000000" w:rsidRPr="00000000">
                    <w:rPr>
                      <w:rFonts w:ascii="Arial" w:cs="Arial" w:eastAsia="Arial" w:hAnsi="Arial"/>
                      <w:rtl w:val="0"/>
                    </w:rPr>
                    <w:t xml:space="preserve">3.795.000</w:t>
                  </w:r>
                </w:p>
              </w:tc>
            </w:tr>
          </w:tbl>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1077610226 - 1077848873</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8823666161- 8823696251</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Fecha de Pago: 02/12/2025 – 09/12/2025</w:t>
            </w:r>
          </w:p>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Periodo de pago de la seguridad social: NOVIEMBRE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El contratista adjunta seguridad social del mes de NOVIEMBRE de 2025 para el pago de esta cuenta, según decreto 1273 de 23/07/2018 que permite efectuar la cancelación mes vencido de la seguridad social. Se compromete a pagar seguridad social correspondiente. </w:t>
            </w:r>
          </w:p>
          <w:p w:rsidR="00000000" w:rsidDel="00000000" w:rsidP="00000000" w:rsidRDefault="00000000" w:rsidRPr="00000000" w14:paraId="0000007D">
            <w:pPr>
              <w:jc w:val="both"/>
              <w:rPr>
                <w:rFonts w:ascii="Arial" w:cs="Arial" w:eastAsia="Arial" w:hAnsi="Arial"/>
              </w:rPr>
            </w:pPr>
            <w:r w:rsidDel="00000000" w:rsidR="00000000" w:rsidRPr="00000000">
              <w:rPr>
                <w:rFonts w:ascii="Arial" w:cs="Arial" w:eastAsia="Arial" w:hAnsi="Arial"/>
                <w:rtl w:val="0"/>
              </w:rPr>
              <w:t xml:space="preserve">El contratista realiza ajuste en el pago de la seguridad social.</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4162.010.26.1.5381-2025</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 La contratista elaboró y gestionó el informe verificable requerido, realizando las actividades administrativas, técnicas y operativas correspondientes, así como la revisión documental, el acompañamiento en campo y la consolidación de avances y evidencias. Dicho informe fue entregado en la cuota número 1.</w:t>
            </w:r>
            <w:r w:rsidDel="00000000" w:rsidR="00000000" w:rsidRPr="00000000">
              <w:rPr>
                <w:rtl w:val="0"/>
              </w:rPr>
            </w:r>
          </w:p>
          <w:p w:rsidR="00000000" w:rsidDel="00000000" w:rsidP="00000000" w:rsidRDefault="00000000" w:rsidRPr="00000000" w14:paraId="0000008A">
            <w:pPr>
              <w:rPr>
                <w:color w:val="000000"/>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Gestionar los procesos estableciendo procedimientos de evaluación, control, mejora y gestión mediante la realización articulada de las actividades psicosociales del proyecto.</w:t>
            </w:r>
          </w:p>
          <w:p w:rsidR="00000000" w:rsidDel="00000000" w:rsidP="00000000" w:rsidRDefault="00000000" w:rsidRPr="00000000" w14:paraId="0000008C">
            <w:pPr>
              <w:rPr>
                <w:color w:val="000000"/>
              </w:rPr>
            </w:pPr>
            <w:r w:rsidDel="00000000" w:rsidR="00000000" w:rsidRPr="00000000">
              <w:rPr>
                <w:rtl w:val="0"/>
              </w:rPr>
            </w:r>
          </w:p>
          <w:p w:rsidR="00000000" w:rsidDel="00000000" w:rsidP="00000000" w:rsidRDefault="00000000" w:rsidRPr="00000000" w14:paraId="0000008D">
            <w:pPr>
              <w:rPr>
                <w:rFonts w:ascii="Arial" w:cs="Arial" w:eastAsia="Arial" w:hAnsi="Arial"/>
                <w:color w:val="000000"/>
              </w:rPr>
            </w:pPr>
            <w:r w:rsidDel="00000000" w:rsidR="00000000" w:rsidRPr="00000000">
              <w:rPr>
                <w:rFonts w:ascii="Arial" w:cs="Arial" w:eastAsia="Arial" w:hAnsi="Arial"/>
                <w:color w:val="000000"/>
                <w:rtl w:val="0"/>
              </w:rPr>
              <w:t xml:space="preserve">- La contratista brindó soporte técnico en la elaboración del cronograma de actividades requerido por el programa, proyectando y ejecutando los acompañamientos y acciones del Programa Cali Incluyente desde el enfoque psicosocial para el periodo correspondiente.</w:t>
            </w:r>
          </w:p>
          <w:p w:rsidR="00000000" w:rsidDel="00000000" w:rsidP="00000000" w:rsidRDefault="00000000" w:rsidRPr="00000000" w14:paraId="0000008E">
            <w:pPr>
              <w:rPr>
                <w:color w:val="00000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3.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r w:rsidDel="00000000" w:rsidR="00000000" w:rsidRPr="00000000">
              <w:rPr>
                <w:rtl w:val="0"/>
              </w:rPr>
            </w:r>
          </w:p>
          <w:p w:rsidR="00000000" w:rsidDel="00000000" w:rsidP="00000000" w:rsidRDefault="00000000" w:rsidRPr="00000000" w14:paraId="00000090">
            <w:pPr>
              <w:rPr>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 La contratista realizó un espacio lúdico con los beneficiarios de la comuna 17 grupo puente palma, mediante la actividad “La Isla Mágica de los Aros”, utilizando un circuito adaptado para estimular el movimiento, la expresión emocional y la autonomía. Durante el ejercicio, los participantes realizaron retos acordes a sus capacidades, favoreciendo la interacción positiva, el disfrute y el fortalecimiento de habilidades psicomotoras y socioemocionales en un entorno seguro y motivador.</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4. Participar de las actividades de carácter misional de la secretaría de Deporte y Recreación, tendientes a enriquecer la ejecución del programa.</w:t>
            </w:r>
            <w:r w:rsidDel="00000000" w:rsidR="00000000" w:rsidRPr="00000000">
              <w:rPr>
                <w:rtl w:val="0"/>
              </w:rPr>
            </w:r>
          </w:p>
          <w:p w:rsidR="00000000" w:rsidDel="00000000" w:rsidP="00000000" w:rsidRDefault="00000000" w:rsidRPr="00000000" w14:paraId="00000094">
            <w:pPr>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La contratista participó en una mesa de trabajo con la coordinadora general del Programa Cali Incluyente y la coordinadora zonal, en la cual se definieron y organizaron las actividades dirigidas a los cuidadores que serán desarrolladas durante la inauguración de los Juegos Para distritales 2025.</w:t>
            </w:r>
          </w:p>
          <w:p w:rsidR="00000000" w:rsidDel="00000000" w:rsidP="00000000" w:rsidRDefault="00000000" w:rsidRPr="00000000" w14:paraId="00000096">
            <w:pPr>
              <w:rPr>
                <w:color w:val="00000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5. Las demás actividades relacionadas con el desarrollo del objeto contractual</w:t>
            </w:r>
            <w:r w:rsidDel="00000000" w:rsidR="00000000" w:rsidRPr="00000000">
              <w:rPr>
                <w:rtl w:val="0"/>
              </w:rPr>
            </w:r>
          </w:p>
          <w:p w:rsidR="00000000" w:rsidDel="00000000" w:rsidP="00000000" w:rsidRDefault="00000000" w:rsidRPr="00000000" w14:paraId="00000098">
            <w:pPr>
              <w:rPr>
                <w:color w:val="000000"/>
              </w:rPr>
            </w:pPr>
            <w:r w:rsidDel="00000000" w:rsidR="00000000" w:rsidRPr="00000000">
              <w:rPr>
                <w:rtl w:val="0"/>
              </w:rPr>
            </w:r>
          </w:p>
          <w:p w:rsidR="00000000" w:rsidDel="00000000" w:rsidP="00000000" w:rsidRDefault="00000000" w:rsidRPr="00000000" w14:paraId="00000099">
            <w:pPr>
              <w:rPr>
                <w:rFonts w:ascii="Arial" w:cs="Arial" w:eastAsia="Arial" w:hAnsi="Arial"/>
                <w:color w:val="000000"/>
              </w:rPr>
            </w:pPr>
            <w:r w:rsidDel="00000000" w:rsidR="00000000" w:rsidRPr="00000000">
              <w:rPr>
                <w:rFonts w:ascii="Arial" w:cs="Arial" w:eastAsia="Arial" w:hAnsi="Arial"/>
                <w:color w:val="000000"/>
                <w:rtl w:val="0"/>
              </w:rPr>
              <w:t xml:space="preserve">- La contratista desarrolló un espacio de sensibilización denominado “Cuidar sin agotarse, un momento para mí” en el Instituto Club de Leones de la Comuna 19, en el cual los cuidadores exploraron y reconocieron tensiones corporales y emocionales asociadas al estrés. Posteriormente, se orientó un ejercicio de respiración enfocado en favorecer la disminución de la carga física y emocional, promoviendo prácticas de autocuidado y fortaleciendo el bienestar personal.</w:t>
            </w:r>
          </w:p>
          <w:p w:rsidR="00000000" w:rsidDel="00000000" w:rsidP="00000000" w:rsidRDefault="00000000" w:rsidRPr="00000000" w14:paraId="0000009A">
            <w:pPr>
              <w:rPr>
                <w:color w:val="000000"/>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10">
              <w:r w:rsidDel="00000000" w:rsidR="00000000" w:rsidRPr="00000000">
                <w:rPr>
                  <w:rFonts w:ascii="Arial" w:cs="Arial" w:eastAsia="Arial" w:hAnsi="Arial"/>
                  <w:color w:val="0000ff"/>
                  <w:u w:val="single"/>
                  <w:rtl w:val="0"/>
                </w:rPr>
                <w:t xml:space="preserve">https://drive.google.com/drive/folders/1gej3Y_NWQ4UhY_r2TrfMfifKx3_qznho?usp=sharing</w:t>
              </w:r>
            </w:hyperlink>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No se reporta recomendaciones para el presente período</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 12/dic/2025</w:t>
            </w:r>
          </w:p>
        </w:tc>
      </w:tr>
    </w:tbl>
    <w:p w:rsidR="00000000" w:rsidDel="00000000" w:rsidP="00000000" w:rsidRDefault="00000000" w:rsidRPr="00000000" w14:paraId="000000C6">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7">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1"/>
    <w:tblPr>
      <w:tblStyleRowBandSize w:val="1"/>
      <w:tblStyleColBandSize w:val="1"/>
      <w:tblCellMar>
        <w:top w:w="0.0" w:type="dxa"/>
        <w:left w:w="10.0" w:type="dxa"/>
        <w:bottom w:w="0.0" w:type="dxa"/>
        <w:right w:w="10.0" w:type="dxa"/>
      </w:tblCellMar>
    </w:tblPr>
  </w:style>
  <w:style w:type="table" w:styleId="a0" w:customStyle="1">
    <w:basedOn w:val="TableNormal1"/>
    <w:tblPr>
      <w:tblStyleRowBandSize w:val="1"/>
      <w:tblStyleColBandSize w:val="1"/>
      <w:tblCellMar>
        <w:top w:w="0.0" w:type="dxa"/>
        <w:left w:w="10.0" w:type="dxa"/>
        <w:bottom w:w="0.0" w:type="dxa"/>
        <w:right w:w="10.0" w:type="dxa"/>
      </w:tblCellMar>
    </w:tblPr>
  </w:style>
  <w:style w:type="table" w:styleId="a1" w:customStyle="1">
    <w:basedOn w:val="TableNormal1"/>
    <w:tblPr>
      <w:tblStyleRowBandSize w:val="1"/>
      <w:tblStyleColBandSize w:val="1"/>
      <w:tblCellMar>
        <w:top w:w="0.0" w:type="dxa"/>
        <w:left w:w="10.0" w:type="dxa"/>
        <w:bottom w:w="0.0" w:type="dxa"/>
        <w:right w:w="10.0" w:type="dxa"/>
      </w:tblCellMar>
    </w:tblPr>
  </w:style>
  <w:style w:type="table" w:styleId="a2" w:customStyle="1">
    <w:basedOn w:val="TableNormal1"/>
    <w:tblPr>
      <w:tblStyleRowBandSize w:val="1"/>
      <w:tblStyleColBandSize w:val="1"/>
      <w:tblCellMar>
        <w:top w:w="0.0" w:type="dxa"/>
        <w:left w:w="10.0" w:type="dxa"/>
        <w:bottom w:w="0.0" w:type="dxa"/>
        <w:right w:w="10.0" w:type="dxa"/>
      </w:tblCellMar>
    </w:tblPr>
  </w:style>
  <w:style w:type="table" w:styleId="a3" w:customStyle="1">
    <w:basedOn w:val="TableNormal1"/>
    <w:tblPr>
      <w:tblStyleRowBandSize w:val="1"/>
      <w:tblStyleColBandSize w:val="1"/>
      <w:tblCellMar>
        <w:top w:w="0.0" w:type="dxa"/>
        <w:left w:w="10.0" w:type="dxa"/>
        <w:bottom w:w="0.0" w:type="dxa"/>
        <w:right w:w="10.0" w:type="dxa"/>
      </w:tblCellMar>
    </w:tblPr>
  </w:style>
  <w:style w:type="table" w:styleId="a4" w:customStyle="1">
    <w:basedOn w:val="TableNormal1"/>
    <w:tblPr>
      <w:tblStyleRowBandSize w:val="1"/>
      <w:tblStyleColBandSize w:val="1"/>
      <w:tblCellMar>
        <w:top w:w="0.0" w:type="dxa"/>
        <w:left w:w="10.0" w:type="dxa"/>
        <w:bottom w:w="0.0" w:type="dxa"/>
        <w:right w:w="10.0" w:type="dxa"/>
      </w:tblCellMar>
    </w:tblPr>
  </w:style>
  <w:style w:type="table" w:styleId="a5" w:customStyle="1">
    <w:basedOn w:val="TableNormal1"/>
    <w:tblPr>
      <w:tblStyleRowBandSize w:val="1"/>
      <w:tblStyleColBandSize w:val="1"/>
      <w:tblCellMar>
        <w:top w:w="0.0" w:type="dxa"/>
        <w:left w:w="10.0" w:type="dxa"/>
        <w:bottom w:w="0.0" w:type="dxa"/>
        <w:right w:w="10.0" w:type="dxa"/>
      </w:tblCellMar>
    </w:tblPr>
  </w:style>
  <w:style w:type="table" w:styleId="a6" w:customStyle="1">
    <w:basedOn w:val="TableNormal1"/>
    <w:tblPr>
      <w:tblStyleRowBandSize w:val="1"/>
      <w:tblStyleColBandSize w:val="1"/>
      <w:tblCellMar>
        <w:top w:w="0.0" w:type="dxa"/>
        <w:left w:w="10.0" w:type="dxa"/>
        <w:bottom w:w="0.0" w:type="dxa"/>
        <w:right w:w="10.0" w:type="dxa"/>
      </w:tblCellMar>
    </w:tblPr>
  </w:style>
  <w:style w:type="table" w:styleId="a7" w:customStyle="1">
    <w:basedOn w:val="TableNormal1"/>
    <w:tblPr>
      <w:tblStyleRowBandSize w:val="1"/>
      <w:tblStyleColBandSize w:val="1"/>
      <w:tblCellMar>
        <w:top w:w="0.0" w:type="dxa"/>
        <w:left w:w="10.0" w:type="dxa"/>
        <w:bottom w:w="0.0" w:type="dxa"/>
        <w:right w:w="10.0" w:type="dxa"/>
      </w:tblCellMar>
    </w:tblPr>
  </w:style>
  <w:style w:type="table" w:styleId="a8" w:customStyle="1">
    <w:basedOn w:val="TableNormal1"/>
    <w:tblPr>
      <w:tblStyleRowBandSize w:val="1"/>
      <w:tblStyleColBandSize w:val="1"/>
      <w:tblCellMar>
        <w:top w:w="0.0" w:type="dxa"/>
        <w:left w:w="10.0" w:type="dxa"/>
        <w:bottom w:w="0.0" w:type="dxa"/>
        <w:right w:w="10.0" w:type="dxa"/>
      </w:tblCellMar>
    </w:tblPr>
  </w:style>
  <w:style w:type="table" w:styleId="a9" w:customStyle="1">
    <w:basedOn w:val="TableNormal0"/>
    <w:tblPr>
      <w:tblStyleRowBandSize w:val="1"/>
      <w:tblStyleColBandSize w:val="1"/>
      <w:tblCellMar>
        <w:top w:w="0.0" w:type="dxa"/>
        <w:left w:w="10.0" w:type="dxa"/>
        <w:bottom w:w="0.0" w:type="dxa"/>
        <w:right w:w="10.0" w:type="dxa"/>
      </w:tblCellMar>
    </w:tblPr>
  </w:style>
  <w:style w:type="table" w:styleId="aa" w:customStyle="1">
    <w:basedOn w:val="TableNormal0"/>
    <w:tblPr>
      <w:tblStyleRowBandSize w:val="1"/>
      <w:tblStyleColBandSize w:val="1"/>
      <w:tblCellMar>
        <w:top w:w="0.0" w:type="dxa"/>
        <w:left w:w="10.0" w:type="dxa"/>
        <w:bottom w:w="0.0" w:type="dxa"/>
        <w:right w:w="10.0" w:type="dxa"/>
      </w:tblCellMar>
    </w:tblPr>
  </w:style>
  <w:style w:type="table" w:styleId="ab" w:customStyle="1">
    <w:basedOn w:val="TableNormal0"/>
    <w:tblPr>
      <w:tblStyleRowBandSize w:val="1"/>
      <w:tblStyleColBandSize w:val="1"/>
      <w:tblCellMar>
        <w:top w:w="0.0" w:type="dxa"/>
        <w:left w:w="10.0" w:type="dxa"/>
        <w:bottom w:w="0.0" w:type="dxa"/>
        <w:right w:w="10.0" w:type="dxa"/>
      </w:tblCellMar>
    </w:tblPr>
  </w:style>
  <w:style w:type="table" w:styleId="ac" w:customStyle="1">
    <w:basedOn w:val="TableNormal0"/>
    <w:tblPr>
      <w:tblStyleRowBandSize w:val="1"/>
      <w:tblStyleColBandSize w:val="1"/>
      <w:tblCellMar>
        <w:top w:w="0.0" w:type="dxa"/>
        <w:left w:w="10.0" w:type="dxa"/>
        <w:bottom w:w="0.0" w:type="dxa"/>
        <w:right w:w="10.0" w:type="dxa"/>
      </w:tblCellMar>
    </w:tblPr>
  </w:style>
  <w:style w:type="table" w:styleId="ad"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gej3Y_NWQ4UhY_r2TrfMfifKx3_qznho?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JdLEhkPBRiNBNPt1kelBwtFGpw==">CgMxLjA4AHIhMU9fMWR3RVcySkFlMW5temd3NDNuS2tST2N0dzZWOUJC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2025-12-06T04:35:00Z</dcterms:created>
  <dc:creator>LEYDHER</dc:creator>
</cp:coreProperties>
</file>